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827" w:rsidRPr="00011827" w:rsidRDefault="00011827" w:rsidP="0001182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1182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Post-acute midterm follow-up cardiac MRI findings and clinical outcomes in patients with COVID-19 vaccine-associated myocarditis: a comprehensive systematic review and meta-analysis</w:t>
      </w:r>
    </w:p>
    <w:p w:rsidR="00011827" w:rsidRPr="00011827" w:rsidRDefault="000D7D6D" w:rsidP="00011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="00011827" w:rsidRPr="000118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Parham </w:t>
        </w:r>
        <w:proofErr w:type="spellStart"/>
        <w:r w:rsidR="00011827" w:rsidRPr="000118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Samimisedeh</w:t>
        </w:r>
        <w:proofErr w:type="spellEnd"/>
      </w:hyperlink>
    </w:p>
    <w:p w:rsidR="00011827" w:rsidRPr="00011827" w:rsidRDefault="00011827" w:rsidP="00011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8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011827" w:rsidRPr="00011827" w:rsidRDefault="000D7D6D" w:rsidP="00011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="00011827" w:rsidRPr="000118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Elmira </w:t>
        </w:r>
        <w:proofErr w:type="spellStart"/>
        <w:r w:rsidR="00011827" w:rsidRPr="000118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Jafari</w:t>
        </w:r>
        <w:proofErr w:type="spellEnd"/>
        <w:r w:rsidR="00011827" w:rsidRPr="000118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011827" w:rsidRPr="000118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Afshar</w:t>
        </w:r>
        <w:proofErr w:type="spellEnd"/>
      </w:hyperlink>
    </w:p>
    <w:p w:rsidR="00011827" w:rsidRPr="00011827" w:rsidRDefault="00011827" w:rsidP="00011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8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011827" w:rsidRPr="00011827" w:rsidRDefault="000D7D6D" w:rsidP="00011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proofErr w:type="spellStart"/>
        <w:r w:rsidR="00011827" w:rsidRPr="000118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Amirhossein</w:t>
        </w:r>
        <w:proofErr w:type="spellEnd"/>
        <w:r w:rsidR="00011827" w:rsidRPr="000118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011827" w:rsidRPr="000118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Tayebi</w:t>
        </w:r>
        <w:proofErr w:type="spellEnd"/>
      </w:hyperlink>
    </w:p>
    <w:p w:rsidR="00011827" w:rsidRPr="00011827" w:rsidRDefault="000D7D6D" w:rsidP="00011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bookmarkStart w:id="0" w:name="_GoBack"/>
      <w:bookmarkEnd w:id="0"/>
    </w:p>
    <w:p w:rsidR="00011827" w:rsidRPr="00011827" w:rsidRDefault="000D7D6D" w:rsidP="00011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"https://www.tandfonline.co</w:instrText>
      </w:r>
      <w:r>
        <w:instrText xml:space="preserve">m/author/Rastad%2C+Hadith" </w:instrText>
      </w:r>
      <w:r>
        <w:fldChar w:fldCharType="separate"/>
      </w:r>
      <w:r w:rsidR="00011827" w:rsidRPr="0001182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Hadith </w:t>
      </w:r>
      <w:proofErr w:type="spellStart"/>
      <w:r w:rsidR="00011827" w:rsidRPr="0001182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Rastad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fldChar w:fldCharType="end"/>
      </w:r>
    </w:p>
    <w:p w:rsidR="00011827" w:rsidRPr="00011827" w:rsidRDefault="00011827" w:rsidP="00011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827">
        <w:rPr>
          <w:rFonts w:ascii="Times New Roman" w:eastAsia="Times New Roman" w:hAnsi="Times New Roman" w:cs="Times New Roman"/>
          <w:sz w:val="24"/>
          <w:szCs w:val="24"/>
        </w:rPr>
        <w:t xml:space="preserve">Pages 193-205 | </w:t>
      </w:r>
      <w:proofErr w:type="gramStart"/>
      <w:r w:rsidRPr="0043485A">
        <w:rPr>
          <w:rFonts w:ascii="Times New Roman" w:eastAsia="Times New Roman" w:hAnsi="Times New Roman" w:cs="Times New Roman"/>
          <w:sz w:val="24"/>
          <w:szCs w:val="24"/>
          <w:highlight w:val="yellow"/>
        </w:rPr>
        <w:t>Received</w:t>
      </w:r>
      <w:proofErr w:type="gramEnd"/>
      <w:r w:rsidRPr="0043485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03 Aug 2023, Accepted 16 Nov 2023, Published online: 24 Nov 2023</w:t>
      </w:r>
    </w:p>
    <w:p w:rsidR="00011827" w:rsidRPr="00011827" w:rsidRDefault="000D7D6D" w:rsidP="000118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tooltip="Cite this article" w:history="1">
        <w:r w:rsidR="00011827" w:rsidRPr="000118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Cite this article </w:t>
        </w:r>
      </w:hyperlink>
    </w:p>
    <w:p w:rsidR="00011827" w:rsidRPr="00011827" w:rsidRDefault="000D7D6D" w:rsidP="000118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011827" w:rsidRPr="000118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https://doi.org/10.1080/23744235.2023.2286289</w:t>
        </w:r>
      </w:hyperlink>
      <w:r w:rsidR="00011827" w:rsidRPr="000118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95F37" w:rsidRDefault="00295F37"/>
    <w:p w:rsidR="006527AB" w:rsidRDefault="006527AB"/>
    <w:p w:rsidR="006527AB" w:rsidRPr="006527AB" w:rsidRDefault="006527AB" w:rsidP="006527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527AB">
        <w:rPr>
          <w:rFonts w:ascii="Times New Roman" w:eastAsia="Times New Roman" w:hAnsi="Times New Roman" w:cs="Times New Roman"/>
          <w:b/>
          <w:bCs/>
          <w:sz w:val="36"/>
          <w:szCs w:val="36"/>
        </w:rPr>
        <w:t>Abstract</w:t>
      </w:r>
    </w:p>
    <w:p w:rsidR="006527AB" w:rsidRPr="006527AB" w:rsidRDefault="006527AB" w:rsidP="006527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527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Purpose </w:t>
      </w:r>
    </w:p>
    <w:p w:rsidR="006527AB" w:rsidRPr="006527AB" w:rsidRDefault="006527AB" w:rsidP="00652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7AB">
        <w:rPr>
          <w:rFonts w:ascii="Times New Roman" w:eastAsia="Times New Roman" w:hAnsi="Times New Roman" w:cs="Times New Roman"/>
          <w:sz w:val="24"/>
          <w:szCs w:val="24"/>
        </w:rPr>
        <w:t xml:space="preserve">Although previous investigations revealed </w:t>
      </w:r>
      <w:proofErr w:type="spellStart"/>
      <w:r w:rsidRPr="006527AB">
        <w:rPr>
          <w:rFonts w:ascii="Times New Roman" w:eastAsia="Times New Roman" w:hAnsi="Times New Roman" w:cs="Times New Roman"/>
          <w:sz w:val="24"/>
          <w:szCs w:val="24"/>
        </w:rPr>
        <w:t>favourable</w:t>
      </w:r>
      <w:proofErr w:type="spellEnd"/>
      <w:r w:rsidRPr="006527AB">
        <w:rPr>
          <w:rFonts w:ascii="Times New Roman" w:eastAsia="Times New Roman" w:hAnsi="Times New Roman" w:cs="Times New Roman"/>
          <w:sz w:val="24"/>
          <w:szCs w:val="24"/>
        </w:rPr>
        <w:t xml:space="preserve"> in-hospital outcomes of COVID-19 vaccine-related myocarditis, the mid-term prognosis is still unclear. Hence, we aim to </w:t>
      </w:r>
      <w:proofErr w:type="spellStart"/>
      <w:r w:rsidRPr="006527AB">
        <w:rPr>
          <w:rFonts w:ascii="Times New Roman" w:eastAsia="Times New Roman" w:hAnsi="Times New Roman" w:cs="Times New Roman"/>
          <w:sz w:val="24"/>
          <w:szCs w:val="24"/>
        </w:rPr>
        <w:t>summarise</w:t>
      </w:r>
      <w:proofErr w:type="spellEnd"/>
      <w:r w:rsidRPr="006527AB">
        <w:rPr>
          <w:rFonts w:ascii="Times New Roman" w:eastAsia="Times New Roman" w:hAnsi="Times New Roman" w:cs="Times New Roman"/>
          <w:sz w:val="24"/>
          <w:szCs w:val="24"/>
        </w:rPr>
        <w:t xml:space="preserve"> existing evidence on the follow-up imaging and clinical findings in patients with COVID-19 vaccine-related myocarditis.</w:t>
      </w:r>
    </w:p>
    <w:p w:rsidR="006527AB" w:rsidRPr="006527AB" w:rsidRDefault="006527AB" w:rsidP="006527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527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Methods </w:t>
      </w:r>
    </w:p>
    <w:p w:rsidR="006527AB" w:rsidRDefault="006527AB" w:rsidP="00652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7AB">
        <w:rPr>
          <w:rFonts w:ascii="Times New Roman" w:eastAsia="Times New Roman" w:hAnsi="Times New Roman" w:cs="Times New Roman"/>
          <w:sz w:val="24"/>
          <w:szCs w:val="24"/>
        </w:rPr>
        <w:t>We performed a systematic search in online databases using relevant key terms covering COVID-19 vaccine, myocarditis, follow-up, and cardiac MRI. We included all observational studies that reported cardiac MRI findings of patients with myocarditis following COVID-19 vaccination in both acute and follow-up phases. Data on clinical outcomes and cardiac MRI findings were extracted and pooled using a random-effect model.</w:t>
      </w:r>
    </w:p>
    <w:p w:rsidR="006527AB" w:rsidRPr="006527AB" w:rsidRDefault="006527AB" w:rsidP="00652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27AB" w:rsidRPr="006527AB" w:rsidRDefault="006527AB" w:rsidP="006527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527AB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 xml:space="preserve">Results </w:t>
      </w:r>
    </w:p>
    <w:p w:rsidR="006527AB" w:rsidRPr="006527AB" w:rsidRDefault="006527AB" w:rsidP="00652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7AB">
        <w:rPr>
          <w:rFonts w:ascii="Times New Roman" w:eastAsia="Times New Roman" w:hAnsi="Times New Roman" w:cs="Times New Roman"/>
          <w:sz w:val="24"/>
          <w:szCs w:val="24"/>
        </w:rPr>
        <w:t xml:space="preserve">A total of 27 studies (126 patients) met our eligibility criteria. At the time of follow-up, myocarditis symptoms were resolved in all patients, but abnormal electrocardiography and elevated troponin levels were detected in 18.7% and 3.8% of them, respectively. Median imaging follow-up times varied from 3 to 6.3 months. On follow-up cardiac MRI, the persistence of LGE was observed in 76% (95%CI: 62 to 85%), but its extension declined compared to the baseline in almost all patients. Persistent LGE was accompanied by myocardial </w:t>
      </w:r>
      <w:proofErr w:type="spellStart"/>
      <w:r w:rsidRPr="006527AB">
        <w:rPr>
          <w:rFonts w:ascii="Times New Roman" w:eastAsia="Times New Roman" w:hAnsi="Times New Roman" w:cs="Times New Roman"/>
          <w:sz w:val="24"/>
          <w:szCs w:val="24"/>
        </w:rPr>
        <w:t>edoema</w:t>
      </w:r>
      <w:proofErr w:type="spellEnd"/>
      <w:r w:rsidRPr="006527AB">
        <w:rPr>
          <w:rFonts w:ascii="Times New Roman" w:eastAsia="Times New Roman" w:hAnsi="Times New Roman" w:cs="Times New Roman"/>
          <w:sz w:val="24"/>
          <w:szCs w:val="24"/>
        </w:rPr>
        <w:t xml:space="preserve"> in six patients, and it was consistent with myocardial fibrosis (LGE without </w:t>
      </w:r>
      <w:proofErr w:type="spellStart"/>
      <w:r w:rsidRPr="006527AB">
        <w:rPr>
          <w:rFonts w:ascii="Times New Roman" w:eastAsia="Times New Roman" w:hAnsi="Times New Roman" w:cs="Times New Roman"/>
          <w:sz w:val="24"/>
          <w:szCs w:val="24"/>
        </w:rPr>
        <w:t>edoema</w:t>
      </w:r>
      <w:proofErr w:type="spellEnd"/>
      <w:r w:rsidRPr="006527AB">
        <w:rPr>
          <w:rFonts w:ascii="Times New Roman" w:eastAsia="Times New Roman" w:hAnsi="Times New Roman" w:cs="Times New Roman"/>
          <w:sz w:val="24"/>
          <w:szCs w:val="24"/>
        </w:rPr>
        <w:t>) in the remaining cases. Mean changes (95%CI) of cardiac MRI left ventricular ejection fraction (LVEF) (%) was +2.97 (+1.59 to +4.34) from baseline.</w:t>
      </w:r>
    </w:p>
    <w:p w:rsidR="006527AB" w:rsidRPr="006527AB" w:rsidRDefault="006527AB" w:rsidP="006527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527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Conclusion </w:t>
      </w:r>
    </w:p>
    <w:p w:rsidR="006527AB" w:rsidRPr="006527AB" w:rsidRDefault="006527AB" w:rsidP="00652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7AB">
        <w:rPr>
          <w:rFonts w:ascii="Times New Roman" w:eastAsia="Times New Roman" w:hAnsi="Times New Roman" w:cs="Times New Roman"/>
          <w:sz w:val="24"/>
          <w:szCs w:val="24"/>
        </w:rPr>
        <w:t xml:space="preserve">In conclusion, although most patients likely experience </w:t>
      </w:r>
      <w:proofErr w:type="spellStart"/>
      <w:r w:rsidRPr="006527AB">
        <w:rPr>
          <w:rFonts w:ascii="Times New Roman" w:eastAsia="Times New Roman" w:hAnsi="Times New Roman" w:cs="Times New Roman"/>
          <w:sz w:val="24"/>
          <w:szCs w:val="24"/>
        </w:rPr>
        <w:t>favourable</w:t>
      </w:r>
      <w:proofErr w:type="spellEnd"/>
      <w:r w:rsidRPr="006527AB">
        <w:rPr>
          <w:rFonts w:ascii="Times New Roman" w:eastAsia="Times New Roman" w:hAnsi="Times New Roman" w:cs="Times New Roman"/>
          <w:sz w:val="24"/>
          <w:szCs w:val="24"/>
        </w:rPr>
        <w:t xml:space="preserve"> clinical outcomes without serious complications, cardiac MRI abnormalities, mainly LGE, may persist in a notable proportion of them beyond the acute phase.</w:t>
      </w:r>
    </w:p>
    <w:p w:rsidR="00F73525" w:rsidRPr="00F73525" w:rsidRDefault="00F73525" w:rsidP="00F735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73525">
        <w:rPr>
          <w:rFonts w:ascii="Times New Roman" w:eastAsia="Times New Roman" w:hAnsi="Times New Roman" w:cs="Times New Roman"/>
          <w:b/>
          <w:bCs/>
          <w:sz w:val="27"/>
          <w:szCs w:val="27"/>
        </w:rPr>
        <w:t>Acknowledgment</w:t>
      </w:r>
    </w:p>
    <w:p w:rsidR="00F73525" w:rsidRPr="00F73525" w:rsidRDefault="00F73525" w:rsidP="00F735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485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Researchers appreciated the Clinical Research Development Units of </w:t>
      </w:r>
      <w:proofErr w:type="spellStart"/>
      <w:r w:rsidRPr="0043485A">
        <w:rPr>
          <w:rFonts w:ascii="Times New Roman" w:eastAsia="Times New Roman" w:hAnsi="Times New Roman" w:cs="Times New Roman"/>
          <w:sz w:val="24"/>
          <w:szCs w:val="24"/>
          <w:highlight w:val="yellow"/>
        </w:rPr>
        <w:t>Kamali</w:t>
      </w:r>
      <w:proofErr w:type="spellEnd"/>
      <w:r w:rsidRPr="0043485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and </w:t>
      </w:r>
      <w:proofErr w:type="spellStart"/>
      <w:r w:rsidRPr="0043485A">
        <w:rPr>
          <w:rFonts w:ascii="Times New Roman" w:eastAsia="Times New Roman" w:hAnsi="Times New Roman" w:cs="Times New Roman"/>
          <w:sz w:val="24"/>
          <w:szCs w:val="24"/>
          <w:highlight w:val="yellow"/>
        </w:rPr>
        <w:t>Rajaee</w:t>
      </w:r>
      <w:proofErr w:type="spellEnd"/>
      <w:r w:rsidRPr="0043485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Hospitals at </w:t>
      </w:r>
      <w:proofErr w:type="spellStart"/>
      <w:r w:rsidRPr="0043485A">
        <w:rPr>
          <w:rFonts w:ascii="Times New Roman" w:eastAsia="Times New Roman" w:hAnsi="Times New Roman" w:cs="Times New Roman"/>
          <w:sz w:val="24"/>
          <w:szCs w:val="24"/>
          <w:highlight w:val="yellow"/>
        </w:rPr>
        <w:t>Alborz</w:t>
      </w:r>
      <w:proofErr w:type="spellEnd"/>
      <w:r w:rsidRPr="0043485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University of Medical Sciences.</w:t>
      </w:r>
    </w:p>
    <w:p w:rsidR="00F73525" w:rsidRPr="00F73525" w:rsidRDefault="00F73525" w:rsidP="00F735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73525">
        <w:rPr>
          <w:rFonts w:ascii="Times New Roman" w:eastAsia="Times New Roman" w:hAnsi="Times New Roman" w:cs="Times New Roman"/>
          <w:b/>
          <w:bCs/>
          <w:sz w:val="36"/>
          <w:szCs w:val="36"/>
        </w:rPr>
        <w:t>Author contributions</w:t>
      </w:r>
    </w:p>
    <w:p w:rsidR="00F73525" w:rsidRPr="00F73525" w:rsidRDefault="00F73525" w:rsidP="00F735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3525">
        <w:rPr>
          <w:rFonts w:ascii="Times New Roman" w:eastAsia="Times New Roman" w:hAnsi="Times New Roman" w:cs="Times New Roman"/>
          <w:sz w:val="24"/>
          <w:szCs w:val="24"/>
        </w:rPr>
        <w:t xml:space="preserve">PS and HR contributed to the conception and design of this review. EJ, PS, and AT carried out the literature review, systematic search, and data extraction, and EJ and HR </w:t>
      </w:r>
      <w:proofErr w:type="spellStart"/>
      <w:r w:rsidRPr="00F73525">
        <w:rPr>
          <w:rFonts w:ascii="Times New Roman" w:eastAsia="Times New Roman" w:hAnsi="Times New Roman" w:cs="Times New Roman"/>
          <w:sz w:val="24"/>
          <w:szCs w:val="24"/>
        </w:rPr>
        <w:t>analysed</w:t>
      </w:r>
      <w:proofErr w:type="spellEnd"/>
      <w:r w:rsidRPr="00F73525">
        <w:rPr>
          <w:rFonts w:ascii="Times New Roman" w:eastAsia="Times New Roman" w:hAnsi="Times New Roman" w:cs="Times New Roman"/>
          <w:sz w:val="24"/>
          <w:szCs w:val="24"/>
        </w:rPr>
        <w:t xml:space="preserve"> and interpreted the imported data. PS drafted the manuscript. All authors read and approved the final manuscript.</w:t>
      </w:r>
    </w:p>
    <w:p w:rsidR="006527AB" w:rsidRDefault="006527AB">
      <w:pPr>
        <w:rPr>
          <w:rtl/>
        </w:rPr>
      </w:pPr>
    </w:p>
    <w:p w:rsidR="0043485A" w:rsidRDefault="0043485A">
      <w:pPr>
        <w:rPr>
          <w:rtl/>
        </w:rPr>
      </w:pPr>
    </w:p>
    <w:p w:rsidR="0043485A" w:rsidRDefault="0043485A">
      <w:pPr>
        <w:rPr>
          <w:rtl/>
        </w:rPr>
      </w:pPr>
    </w:p>
    <w:p w:rsidR="0043485A" w:rsidRDefault="0043485A"/>
    <w:sectPr w:rsidR="004348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A7F36"/>
    <w:multiLevelType w:val="multilevel"/>
    <w:tmpl w:val="FEA83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82F"/>
    <w:rsid w:val="00011827"/>
    <w:rsid w:val="000D7D6D"/>
    <w:rsid w:val="00295F37"/>
    <w:rsid w:val="0030182F"/>
    <w:rsid w:val="0043485A"/>
    <w:rsid w:val="006527AB"/>
    <w:rsid w:val="00A8331F"/>
    <w:rsid w:val="00F7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6CE3CF95-86A6-4CA1-A2EE-462133CBF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7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3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6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0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6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0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27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3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80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232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398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164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935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789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933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769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9116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322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8458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8420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77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184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31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9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1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ndfonline.com/doi/full/10.1080/23744235.2023.2286289?scroll=top&amp;needAccess=tru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andfonline.com/author/Tayebi%2C+Amirhosse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andfonline.com/author/Jafari+Afshar%2C+Elmir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tandfonline.com/author/Samimisedeh%2C+Parha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80/23744235.2023.22862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469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RCRDU</dc:creator>
  <cp:keywords/>
  <dc:description/>
  <cp:lastModifiedBy>RCRDU</cp:lastModifiedBy>
  <cp:revision>8</cp:revision>
  <dcterms:created xsi:type="dcterms:W3CDTF">2024-08-11T09:02:00Z</dcterms:created>
  <dcterms:modified xsi:type="dcterms:W3CDTF">2024-09-10T06:59:00Z</dcterms:modified>
</cp:coreProperties>
</file>